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FD3" w:rsidRDefault="00A84FD3">
      <w:pPr>
        <w:pStyle w:val="Title"/>
        <w:rPr>
          <w:sz w:val="20"/>
        </w:rPr>
      </w:pPr>
    </w:p>
    <w:p w:rsidR="00A84FD3" w:rsidRDefault="00A84FD3">
      <w:pPr>
        <w:pStyle w:val="Title"/>
        <w:spacing w:before="3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7"/>
        <w:gridCol w:w="2869"/>
        <w:gridCol w:w="2310"/>
        <w:gridCol w:w="1818"/>
      </w:tblGrid>
      <w:tr w:rsidR="00A84FD3">
        <w:trPr>
          <w:trHeight w:val="870"/>
        </w:trPr>
        <w:tc>
          <w:tcPr>
            <w:tcW w:w="1817" w:type="dxa"/>
          </w:tcPr>
          <w:p w:rsidR="00A84FD3" w:rsidRDefault="00A84FD3">
            <w:pPr>
              <w:pStyle w:val="TableParagraph"/>
              <w:spacing w:before="5"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  <w:p w:rsidR="00A84FD3" w:rsidRDefault="00AA3C79">
            <w:pPr>
              <w:pStyle w:val="TableParagraph"/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>Academic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Year</w:t>
            </w:r>
          </w:p>
        </w:tc>
        <w:tc>
          <w:tcPr>
            <w:tcW w:w="2869" w:type="dxa"/>
          </w:tcPr>
          <w:p w:rsidR="00A84FD3" w:rsidRDefault="00AA3C79">
            <w:pPr>
              <w:pStyle w:val="TableParagraph"/>
              <w:spacing w:before="52" w:line="240" w:lineRule="auto"/>
              <w:ind w:left="107" w:right="97" w:hanging="3"/>
              <w:rPr>
                <w:b/>
              </w:rPr>
            </w:pPr>
            <w:r>
              <w:rPr>
                <w:b/>
              </w:rPr>
              <w:t>Direct Loans 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Undergraduate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Subsidized/Unsubsidized</w:t>
            </w:r>
          </w:p>
        </w:tc>
        <w:tc>
          <w:tcPr>
            <w:tcW w:w="2310" w:type="dxa"/>
          </w:tcPr>
          <w:p w:rsidR="00A84FD3" w:rsidRDefault="00AA3C79">
            <w:pPr>
              <w:pStyle w:val="TableParagraph"/>
              <w:spacing w:before="52" w:line="240" w:lineRule="auto"/>
              <w:ind w:left="419" w:right="410"/>
              <w:rPr>
                <w:b/>
              </w:rPr>
            </w:pPr>
            <w:r>
              <w:rPr>
                <w:b/>
              </w:rPr>
              <w:t>Direct Loans -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Graduate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Unsubsidized</w:t>
            </w:r>
          </w:p>
        </w:tc>
        <w:tc>
          <w:tcPr>
            <w:tcW w:w="1818" w:type="dxa"/>
          </w:tcPr>
          <w:p w:rsidR="00A84FD3" w:rsidRDefault="00AA3C79">
            <w:pPr>
              <w:pStyle w:val="TableParagraph"/>
              <w:spacing w:before="52" w:line="240" w:lineRule="auto"/>
              <w:ind w:left="171" w:right="166"/>
              <w:rPr>
                <w:b/>
              </w:rPr>
            </w:pPr>
            <w:r>
              <w:rPr>
                <w:b/>
              </w:rPr>
              <w:t>Direct Loans -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PLUS (Parent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Grad)</w:t>
            </w:r>
          </w:p>
        </w:tc>
      </w:tr>
      <w:tr w:rsidR="007969BC">
        <w:trPr>
          <w:trHeight w:val="253"/>
        </w:trPr>
        <w:tc>
          <w:tcPr>
            <w:tcW w:w="1817" w:type="dxa"/>
            <w:shd w:val="clear" w:color="auto" w:fill="FFE699"/>
          </w:tcPr>
          <w:p w:rsidR="007969BC" w:rsidRDefault="007969BC">
            <w:pPr>
              <w:pStyle w:val="TableParagraph"/>
              <w:ind w:left="99"/>
            </w:pPr>
            <w:r>
              <w:t>202</w:t>
            </w:r>
            <w:r>
              <w:t>2</w:t>
            </w:r>
            <w:r>
              <w:t>-202</w:t>
            </w:r>
            <w:r>
              <w:t>3</w:t>
            </w:r>
          </w:p>
        </w:tc>
        <w:tc>
          <w:tcPr>
            <w:tcW w:w="2869" w:type="dxa"/>
            <w:shd w:val="clear" w:color="auto" w:fill="FFE699"/>
          </w:tcPr>
          <w:p w:rsidR="007969BC" w:rsidRDefault="007969BC">
            <w:pPr>
              <w:pStyle w:val="TableParagraph"/>
              <w:ind w:left="1101" w:right="1093"/>
            </w:pPr>
            <w:r>
              <w:t>4.99%</w:t>
            </w:r>
          </w:p>
        </w:tc>
        <w:tc>
          <w:tcPr>
            <w:tcW w:w="2310" w:type="dxa"/>
            <w:shd w:val="clear" w:color="auto" w:fill="FFE699"/>
          </w:tcPr>
          <w:p w:rsidR="007969BC" w:rsidRDefault="007969BC">
            <w:pPr>
              <w:pStyle w:val="TableParagraph"/>
              <w:ind w:left="419" w:right="410"/>
            </w:pPr>
            <w:r>
              <w:t>6.54%</w:t>
            </w:r>
          </w:p>
        </w:tc>
        <w:tc>
          <w:tcPr>
            <w:tcW w:w="1818" w:type="dxa"/>
            <w:shd w:val="clear" w:color="auto" w:fill="FFE699"/>
          </w:tcPr>
          <w:p w:rsidR="007969BC" w:rsidRDefault="007969BC">
            <w:pPr>
              <w:pStyle w:val="TableParagraph"/>
              <w:ind w:right="586"/>
              <w:jc w:val="right"/>
            </w:pPr>
            <w:r>
              <w:t>7.54%</w:t>
            </w:r>
          </w:p>
        </w:tc>
      </w:tr>
      <w:tr w:rsidR="00A84FD3" w:rsidTr="00B62C55">
        <w:trPr>
          <w:trHeight w:val="253"/>
        </w:trPr>
        <w:tc>
          <w:tcPr>
            <w:tcW w:w="1817" w:type="dxa"/>
            <w:shd w:val="clear" w:color="auto" w:fill="D9D9D9" w:themeFill="background1" w:themeFillShade="D9"/>
          </w:tcPr>
          <w:p w:rsidR="00A84FD3" w:rsidRDefault="00AA3C79">
            <w:pPr>
              <w:pStyle w:val="TableParagraph"/>
              <w:ind w:left="99"/>
            </w:pPr>
            <w:r>
              <w:t>2021-2022</w:t>
            </w:r>
          </w:p>
        </w:tc>
        <w:tc>
          <w:tcPr>
            <w:tcW w:w="2869" w:type="dxa"/>
            <w:shd w:val="clear" w:color="auto" w:fill="D9D9D9" w:themeFill="background1" w:themeFillShade="D9"/>
          </w:tcPr>
          <w:p w:rsidR="00A84FD3" w:rsidRDefault="00AA3C79">
            <w:pPr>
              <w:pStyle w:val="TableParagraph"/>
              <w:ind w:left="1101" w:right="1093"/>
            </w:pPr>
            <w:r>
              <w:t>3.73%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:rsidR="00A84FD3" w:rsidRDefault="00AA3C79">
            <w:pPr>
              <w:pStyle w:val="TableParagraph"/>
              <w:ind w:left="419" w:right="410"/>
            </w:pPr>
            <w:r>
              <w:t>5.28%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A84FD3" w:rsidRDefault="00AA3C79">
            <w:pPr>
              <w:pStyle w:val="TableParagraph"/>
              <w:ind w:right="586"/>
              <w:jc w:val="right"/>
            </w:pPr>
            <w:r>
              <w:t>6.28%</w:t>
            </w:r>
          </w:p>
        </w:tc>
      </w:tr>
      <w:tr w:rsidR="00A84FD3">
        <w:trPr>
          <w:trHeight w:val="254"/>
        </w:trPr>
        <w:tc>
          <w:tcPr>
            <w:tcW w:w="1817" w:type="dxa"/>
            <w:shd w:val="clear" w:color="auto" w:fill="D9D9D9"/>
          </w:tcPr>
          <w:p w:rsidR="00A84FD3" w:rsidRDefault="00AA3C79">
            <w:pPr>
              <w:pStyle w:val="TableParagraph"/>
              <w:ind w:left="99"/>
            </w:pPr>
            <w:r>
              <w:t>2020-2021</w:t>
            </w:r>
          </w:p>
        </w:tc>
        <w:tc>
          <w:tcPr>
            <w:tcW w:w="2869" w:type="dxa"/>
            <w:shd w:val="clear" w:color="auto" w:fill="D9D9D9"/>
          </w:tcPr>
          <w:p w:rsidR="00A84FD3" w:rsidRDefault="00AA3C79">
            <w:pPr>
              <w:pStyle w:val="TableParagraph"/>
              <w:ind w:left="1101" w:right="1093"/>
            </w:pPr>
            <w:r>
              <w:t>2.75%</w:t>
            </w:r>
          </w:p>
        </w:tc>
        <w:tc>
          <w:tcPr>
            <w:tcW w:w="2310" w:type="dxa"/>
            <w:shd w:val="clear" w:color="auto" w:fill="D9D9D9"/>
          </w:tcPr>
          <w:p w:rsidR="00A84FD3" w:rsidRDefault="00AA3C79">
            <w:pPr>
              <w:pStyle w:val="TableParagraph"/>
              <w:ind w:left="419" w:right="410"/>
            </w:pPr>
            <w:r>
              <w:t>4.30%</w:t>
            </w:r>
          </w:p>
        </w:tc>
        <w:tc>
          <w:tcPr>
            <w:tcW w:w="1818" w:type="dxa"/>
            <w:shd w:val="clear" w:color="auto" w:fill="D9D9D9"/>
          </w:tcPr>
          <w:p w:rsidR="00A84FD3" w:rsidRDefault="00AA3C79">
            <w:pPr>
              <w:pStyle w:val="TableParagraph"/>
              <w:ind w:right="586"/>
              <w:jc w:val="right"/>
            </w:pPr>
            <w:r>
              <w:t>5.30%</w:t>
            </w:r>
          </w:p>
        </w:tc>
      </w:tr>
      <w:tr w:rsidR="00A84FD3">
        <w:trPr>
          <w:trHeight w:val="251"/>
        </w:trPr>
        <w:tc>
          <w:tcPr>
            <w:tcW w:w="1817" w:type="dxa"/>
            <w:shd w:val="clear" w:color="auto" w:fill="D9D9D9"/>
          </w:tcPr>
          <w:p w:rsidR="00A84FD3" w:rsidRDefault="00AA3C79">
            <w:pPr>
              <w:pStyle w:val="TableParagraph"/>
              <w:spacing w:line="232" w:lineRule="exact"/>
              <w:ind w:left="99"/>
            </w:pPr>
            <w:r>
              <w:t>2019-2020</w:t>
            </w:r>
          </w:p>
        </w:tc>
        <w:tc>
          <w:tcPr>
            <w:tcW w:w="2869" w:type="dxa"/>
            <w:shd w:val="clear" w:color="auto" w:fill="D9D9D9"/>
          </w:tcPr>
          <w:p w:rsidR="00A84FD3" w:rsidRDefault="00AA3C79">
            <w:pPr>
              <w:pStyle w:val="TableParagraph"/>
              <w:spacing w:line="232" w:lineRule="exact"/>
              <w:ind w:left="1101" w:right="1093"/>
            </w:pPr>
            <w:r>
              <w:t>4.52%</w:t>
            </w:r>
          </w:p>
        </w:tc>
        <w:tc>
          <w:tcPr>
            <w:tcW w:w="2310" w:type="dxa"/>
            <w:shd w:val="clear" w:color="auto" w:fill="D9D9D9"/>
          </w:tcPr>
          <w:p w:rsidR="00A84FD3" w:rsidRDefault="00AA3C79">
            <w:pPr>
              <w:pStyle w:val="TableParagraph"/>
              <w:spacing w:line="232" w:lineRule="exact"/>
              <w:ind w:left="419" w:right="410"/>
            </w:pPr>
            <w:r>
              <w:t>6.07%</w:t>
            </w:r>
          </w:p>
        </w:tc>
        <w:tc>
          <w:tcPr>
            <w:tcW w:w="1818" w:type="dxa"/>
            <w:shd w:val="clear" w:color="auto" w:fill="D9D9D9"/>
          </w:tcPr>
          <w:p w:rsidR="00A84FD3" w:rsidRDefault="00AA3C79">
            <w:pPr>
              <w:pStyle w:val="TableParagraph"/>
              <w:spacing w:line="232" w:lineRule="exact"/>
              <w:ind w:right="586"/>
              <w:jc w:val="right"/>
            </w:pPr>
            <w:r>
              <w:t>7.07%</w:t>
            </w:r>
          </w:p>
        </w:tc>
      </w:tr>
      <w:tr w:rsidR="00A84FD3">
        <w:trPr>
          <w:trHeight w:val="254"/>
        </w:trPr>
        <w:tc>
          <w:tcPr>
            <w:tcW w:w="1817" w:type="dxa"/>
            <w:shd w:val="clear" w:color="auto" w:fill="D9D9D9"/>
          </w:tcPr>
          <w:p w:rsidR="00A84FD3" w:rsidRDefault="00AA3C79">
            <w:pPr>
              <w:pStyle w:val="TableParagraph"/>
              <w:ind w:left="99"/>
            </w:pPr>
            <w:r>
              <w:t>2018-2019</w:t>
            </w:r>
          </w:p>
        </w:tc>
        <w:tc>
          <w:tcPr>
            <w:tcW w:w="2869" w:type="dxa"/>
            <w:shd w:val="clear" w:color="auto" w:fill="D9D9D9"/>
          </w:tcPr>
          <w:p w:rsidR="00A84FD3" w:rsidRDefault="00AA3C79">
            <w:pPr>
              <w:pStyle w:val="TableParagraph"/>
              <w:ind w:left="1101" w:right="1093"/>
            </w:pPr>
            <w:r>
              <w:t>5.05%</w:t>
            </w:r>
          </w:p>
        </w:tc>
        <w:tc>
          <w:tcPr>
            <w:tcW w:w="2310" w:type="dxa"/>
            <w:shd w:val="clear" w:color="auto" w:fill="D9D9D9"/>
          </w:tcPr>
          <w:p w:rsidR="00A84FD3" w:rsidRDefault="00AA3C79">
            <w:pPr>
              <w:pStyle w:val="TableParagraph"/>
              <w:ind w:left="419" w:right="410"/>
            </w:pPr>
            <w:r>
              <w:t>6.60%</w:t>
            </w:r>
          </w:p>
        </w:tc>
        <w:tc>
          <w:tcPr>
            <w:tcW w:w="1818" w:type="dxa"/>
            <w:shd w:val="clear" w:color="auto" w:fill="D9D9D9"/>
          </w:tcPr>
          <w:p w:rsidR="00A84FD3" w:rsidRDefault="00AA3C79">
            <w:pPr>
              <w:pStyle w:val="TableParagraph"/>
              <w:ind w:right="586"/>
              <w:jc w:val="right"/>
            </w:pPr>
            <w:r>
              <w:t>7.60%</w:t>
            </w:r>
          </w:p>
        </w:tc>
      </w:tr>
      <w:tr w:rsidR="00A84FD3">
        <w:trPr>
          <w:trHeight w:val="251"/>
        </w:trPr>
        <w:tc>
          <w:tcPr>
            <w:tcW w:w="1817" w:type="dxa"/>
            <w:shd w:val="clear" w:color="auto" w:fill="D9D9D9"/>
          </w:tcPr>
          <w:p w:rsidR="00A84FD3" w:rsidRDefault="00AA3C79">
            <w:pPr>
              <w:pStyle w:val="TableParagraph"/>
              <w:spacing w:line="232" w:lineRule="exact"/>
              <w:ind w:left="99"/>
            </w:pPr>
            <w:r>
              <w:t>2017-2018</w:t>
            </w:r>
          </w:p>
        </w:tc>
        <w:tc>
          <w:tcPr>
            <w:tcW w:w="2869" w:type="dxa"/>
            <w:shd w:val="clear" w:color="auto" w:fill="D9D9D9"/>
          </w:tcPr>
          <w:p w:rsidR="00A84FD3" w:rsidRDefault="00AA3C79">
            <w:pPr>
              <w:pStyle w:val="TableParagraph"/>
              <w:spacing w:line="232" w:lineRule="exact"/>
              <w:ind w:left="1101" w:right="1093"/>
            </w:pPr>
            <w:r>
              <w:t>4.45%</w:t>
            </w:r>
          </w:p>
        </w:tc>
        <w:tc>
          <w:tcPr>
            <w:tcW w:w="2310" w:type="dxa"/>
            <w:shd w:val="clear" w:color="auto" w:fill="D9D9D9"/>
          </w:tcPr>
          <w:p w:rsidR="00A84FD3" w:rsidRDefault="00AA3C79">
            <w:pPr>
              <w:pStyle w:val="TableParagraph"/>
              <w:spacing w:line="232" w:lineRule="exact"/>
              <w:ind w:left="419" w:right="410"/>
            </w:pPr>
            <w:r>
              <w:t>6.00%</w:t>
            </w:r>
          </w:p>
        </w:tc>
        <w:tc>
          <w:tcPr>
            <w:tcW w:w="1818" w:type="dxa"/>
            <w:shd w:val="clear" w:color="auto" w:fill="D9D9D9"/>
          </w:tcPr>
          <w:p w:rsidR="00A84FD3" w:rsidRDefault="00AA3C79">
            <w:pPr>
              <w:pStyle w:val="TableParagraph"/>
              <w:spacing w:line="232" w:lineRule="exact"/>
              <w:ind w:right="586"/>
              <w:jc w:val="right"/>
            </w:pPr>
            <w:r>
              <w:t>7.00%</w:t>
            </w:r>
          </w:p>
        </w:tc>
      </w:tr>
      <w:tr w:rsidR="00A84FD3">
        <w:trPr>
          <w:trHeight w:val="254"/>
        </w:trPr>
        <w:tc>
          <w:tcPr>
            <w:tcW w:w="1817" w:type="dxa"/>
            <w:shd w:val="clear" w:color="auto" w:fill="D9D9D9"/>
          </w:tcPr>
          <w:p w:rsidR="00A84FD3" w:rsidRDefault="00AA3C79">
            <w:pPr>
              <w:pStyle w:val="TableParagraph"/>
              <w:spacing w:line="235" w:lineRule="exact"/>
              <w:ind w:left="99"/>
            </w:pPr>
            <w:r>
              <w:t>2016-2017</w:t>
            </w:r>
          </w:p>
        </w:tc>
        <w:tc>
          <w:tcPr>
            <w:tcW w:w="2869" w:type="dxa"/>
            <w:shd w:val="clear" w:color="auto" w:fill="D9D9D9"/>
          </w:tcPr>
          <w:p w:rsidR="00A84FD3" w:rsidRDefault="00AA3C79">
            <w:pPr>
              <w:pStyle w:val="TableParagraph"/>
              <w:spacing w:line="235" w:lineRule="exact"/>
              <w:ind w:left="1101" w:right="1093"/>
            </w:pPr>
            <w:r>
              <w:t>3.76%</w:t>
            </w:r>
          </w:p>
        </w:tc>
        <w:tc>
          <w:tcPr>
            <w:tcW w:w="2310" w:type="dxa"/>
            <w:shd w:val="clear" w:color="auto" w:fill="D9D9D9"/>
          </w:tcPr>
          <w:p w:rsidR="00A84FD3" w:rsidRDefault="00AA3C79">
            <w:pPr>
              <w:pStyle w:val="TableParagraph"/>
              <w:spacing w:line="235" w:lineRule="exact"/>
              <w:ind w:left="419" w:right="410"/>
            </w:pPr>
            <w:r>
              <w:t>5.31%</w:t>
            </w:r>
          </w:p>
        </w:tc>
        <w:tc>
          <w:tcPr>
            <w:tcW w:w="1818" w:type="dxa"/>
            <w:shd w:val="clear" w:color="auto" w:fill="D9D9D9"/>
          </w:tcPr>
          <w:p w:rsidR="00A84FD3" w:rsidRDefault="00AA3C79">
            <w:pPr>
              <w:pStyle w:val="TableParagraph"/>
              <w:spacing w:line="235" w:lineRule="exact"/>
              <w:ind w:right="586"/>
              <w:jc w:val="right"/>
            </w:pPr>
            <w:r>
              <w:t>6.31%</w:t>
            </w:r>
          </w:p>
        </w:tc>
      </w:tr>
      <w:tr w:rsidR="00A84FD3">
        <w:trPr>
          <w:trHeight w:val="251"/>
        </w:trPr>
        <w:tc>
          <w:tcPr>
            <w:tcW w:w="1817" w:type="dxa"/>
            <w:shd w:val="clear" w:color="auto" w:fill="D9D9D9"/>
          </w:tcPr>
          <w:p w:rsidR="00A84FD3" w:rsidRDefault="00AA3C79">
            <w:pPr>
              <w:pStyle w:val="TableParagraph"/>
              <w:spacing w:line="232" w:lineRule="exact"/>
              <w:ind w:left="99"/>
            </w:pPr>
            <w:r>
              <w:t>2015-2016</w:t>
            </w:r>
          </w:p>
        </w:tc>
        <w:tc>
          <w:tcPr>
            <w:tcW w:w="2869" w:type="dxa"/>
            <w:shd w:val="clear" w:color="auto" w:fill="D9D9D9"/>
          </w:tcPr>
          <w:p w:rsidR="00A84FD3" w:rsidRDefault="00AA3C79">
            <w:pPr>
              <w:pStyle w:val="TableParagraph"/>
              <w:spacing w:line="232" w:lineRule="exact"/>
              <w:ind w:left="1101" w:right="1093"/>
            </w:pPr>
            <w:r>
              <w:t>4.29%</w:t>
            </w:r>
          </w:p>
        </w:tc>
        <w:tc>
          <w:tcPr>
            <w:tcW w:w="2310" w:type="dxa"/>
            <w:shd w:val="clear" w:color="auto" w:fill="D9D9D9"/>
          </w:tcPr>
          <w:p w:rsidR="00A84FD3" w:rsidRDefault="00AA3C79">
            <w:pPr>
              <w:pStyle w:val="TableParagraph"/>
              <w:spacing w:line="232" w:lineRule="exact"/>
              <w:ind w:left="419" w:right="410"/>
            </w:pPr>
            <w:r>
              <w:t>5.84%</w:t>
            </w:r>
          </w:p>
        </w:tc>
        <w:tc>
          <w:tcPr>
            <w:tcW w:w="1818" w:type="dxa"/>
            <w:shd w:val="clear" w:color="auto" w:fill="D9D9D9"/>
          </w:tcPr>
          <w:p w:rsidR="00A84FD3" w:rsidRDefault="00AA3C79">
            <w:pPr>
              <w:pStyle w:val="TableParagraph"/>
              <w:spacing w:line="232" w:lineRule="exact"/>
              <w:ind w:right="586"/>
              <w:jc w:val="right"/>
            </w:pPr>
            <w:r>
              <w:t>6.84%</w:t>
            </w:r>
          </w:p>
        </w:tc>
      </w:tr>
      <w:tr w:rsidR="00A84FD3">
        <w:trPr>
          <w:trHeight w:val="254"/>
        </w:trPr>
        <w:tc>
          <w:tcPr>
            <w:tcW w:w="1817" w:type="dxa"/>
            <w:shd w:val="clear" w:color="auto" w:fill="D9D9D9"/>
          </w:tcPr>
          <w:p w:rsidR="00A84FD3" w:rsidRDefault="00AA3C79">
            <w:pPr>
              <w:pStyle w:val="TableParagraph"/>
              <w:ind w:left="99"/>
            </w:pPr>
            <w:r>
              <w:t>2014-2015</w:t>
            </w:r>
          </w:p>
        </w:tc>
        <w:tc>
          <w:tcPr>
            <w:tcW w:w="2869" w:type="dxa"/>
            <w:shd w:val="clear" w:color="auto" w:fill="D9D9D9"/>
          </w:tcPr>
          <w:p w:rsidR="00A84FD3" w:rsidRDefault="00AA3C79">
            <w:pPr>
              <w:pStyle w:val="TableParagraph"/>
              <w:ind w:left="1101" w:right="1093"/>
            </w:pPr>
            <w:r>
              <w:t>4.66%</w:t>
            </w:r>
          </w:p>
        </w:tc>
        <w:tc>
          <w:tcPr>
            <w:tcW w:w="2310" w:type="dxa"/>
            <w:shd w:val="clear" w:color="auto" w:fill="D9D9D9"/>
          </w:tcPr>
          <w:p w:rsidR="00A84FD3" w:rsidRDefault="00AA3C79">
            <w:pPr>
              <w:pStyle w:val="TableParagraph"/>
              <w:ind w:left="419" w:right="410"/>
            </w:pPr>
            <w:r>
              <w:t>6.21%</w:t>
            </w:r>
          </w:p>
        </w:tc>
        <w:tc>
          <w:tcPr>
            <w:tcW w:w="1818" w:type="dxa"/>
            <w:shd w:val="clear" w:color="auto" w:fill="D9D9D9"/>
          </w:tcPr>
          <w:p w:rsidR="00A84FD3" w:rsidRDefault="00AA3C79">
            <w:pPr>
              <w:pStyle w:val="TableParagraph"/>
              <w:ind w:right="586"/>
              <w:jc w:val="right"/>
            </w:pPr>
            <w:r>
              <w:t>7.21%</w:t>
            </w:r>
          </w:p>
        </w:tc>
      </w:tr>
      <w:tr w:rsidR="00A84FD3">
        <w:trPr>
          <w:trHeight w:val="253"/>
        </w:trPr>
        <w:tc>
          <w:tcPr>
            <w:tcW w:w="1817" w:type="dxa"/>
            <w:shd w:val="clear" w:color="auto" w:fill="D9D9D9"/>
          </w:tcPr>
          <w:p w:rsidR="00A84FD3" w:rsidRDefault="00AA3C79">
            <w:pPr>
              <w:pStyle w:val="TableParagraph"/>
              <w:ind w:left="99"/>
            </w:pPr>
            <w:r>
              <w:t>2013-2014</w:t>
            </w:r>
          </w:p>
        </w:tc>
        <w:tc>
          <w:tcPr>
            <w:tcW w:w="2869" w:type="dxa"/>
            <w:shd w:val="clear" w:color="auto" w:fill="D9D9D9"/>
          </w:tcPr>
          <w:p w:rsidR="00A84FD3" w:rsidRDefault="00AA3C79">
            <w:pPr>
              <w:pStyle w:val="TableParagraph"/>
              <w:ind w:left="1101" w:right="1093"/>
            </w:pPr>
            <w:r>
              <w:t>3.86%</w:t>
            </w:r>
          </w:p>
        </w:tc>
        <w:tc>
          <w:tcPr>
            <w:tcW w:w="2310" w:type="dxa"/>
            <w:shd w:val="clear" w:color="auto" w:fill="D9D9D9"/>
          </w:tcPr>
          <w:p w:rsidR="00A84FD3" w:rsidRDefault="00AA3C79">
            <w:pPr>
              <w:pStyle w:val="TableParagraph"/>
              <w:ind w:left="419" w:right="410"/>
            </w:pPr>
            <w:r>
              <w:t>5.41%</w:t>
            </w:r>
          </w:p>
        </w:tc>
        <w:tc>
          <w:tcPr>
            <w:tcW w:w="1818" w:type="dxa"/>
            <w:shd w:val="clear" w:color="auto" w:fill="D9D9D9"/>
          </w:tcPr>
          <w:p w:rsidR="00A84FD3" w:rsidRDefault="00AA3C79">
            <w:pPr>
              <w:pStyle w:val="TableParagraph"/>
              <w:ind w:right="586"/>
              <w:jc w:val="right"/>
            </w:pPr>
            <w:r>
              <w:t>6.41%</w:t>
            </w:r>
          </w:p>
        </w:tc>
      </w:tr>
    </w:tbl>
    <w:p w:rsidR="00AA3C79" w:rsidRDefault="00AA3C79">
      <w:bookmarkStart w:id="0" w:name="_GoBack"/>
      <w:bookmarkEnd w:id="0"/>
    </w:p>
    <w:sectPr w:rsidR="00AA3C79">
      <w:type w:val="continuous"/>
      <w:pgSz w:w="12240" w:h="15840"/>
      <w:pgMar w:top="150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4FD3"/>
    <w:rsid w:val="007969BC"/>
    <w:rsid w:val="00A84FD3"/>
    <w:rsid w:val="00AA3C79"/>
    <w:rsid w:val="00B62C55"/>
    <w:rsid w:val="00DD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2689B"/>
  <w15:docId w15:val="{962606E4-2A21-477F-8160-B5B7F067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right="9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914819CF-752D-4264-B54C-F4E9DB1A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Kimberlee Kainulainen</dc:creator>
  <cp:lastModifiedBy>Eyricka Oglesby</cp:lastModifiedBy>
  <cp:revision>5</cp:revision>
  <dcterms:created xsi:type="dcterms:W3CDTF">2022-05-17T18:05:00Z</dcterms:created>
  <dcterms:modified xsi:type="dcterms:W3CDTF">2022-05-17T18:09:00Z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2022-05-17T00:00:00Z</vt:filetime>
  </property>
</Properties>
</file>